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AE0" w:rsidRPr="003C35B5" w:rsidRDefault="00ED6AE0" w:rsidP="00ED6AE0">
      <w:pPr>
        <w:spacing w:before="0" w:line="240" w:lineRule="auto"/>
        <w:jc w:val="center"/>
        <w:rPr>
          <w:b/>
        </w:rPr>
      </w:pPr>
      <w:r w:rsidRPr="003C35B5">
        <w:rPr>
          <w:b/>
        </w:rPr>
        <w:t xml:space="preserve">SOAH DOCKET NO. </w:t>
      </w:r>
      <w:r>
        <w:rPr>
          <w:b/>
        </w:rPr>
        <w:t>47</w:t>
      </w:r>
      <w:r w:rsidR="00B035E0">
        <w:rPr>
          <w:b/>
        </w:rPr>
        <w:t>3</w:t>
      </w:r>
      <w:r w:rsidRPr="003C35B5">
        <w:rPr>
          <w:b/>
        </w:rPr>
        <w:t>-</w:t>
      </w:r>
      <w:r>
        <w:rPr>
          <w:b/>
        </w:rPr>
        <w:t>16</w:t>
      </w:r>
      <w:r w:rsidRPr="003C35B5">
        <w:rPr>
          <w:b/>
        </w:rPr>
        <w:t>-</w:t>
      </w:r>
      <w:r w:rsidR="00B035E0">
        <w:rPr>
          <w:b/>
        </w:rPr>
        <w:t>0477</w:t>
      </w:r>
      <w:r>
        <w:rPr>
          <w:b/>
        </w:rPr>
        <w:t>.WS</w:t>
      </w:r>
    </w:p>
    <w:p w:rsidR="00ED6AE0" w:rsidRPr="003C35B5" w:rsidRDefault="00ED6AE0" w:rsidP="00ED6AE0">
      <w:pPr>
        <w:spacing w:before="0" w:line="240" w:lineRule="auto"/>
        <w:jc w:val="center"/>
        <w:rPr>
          <w:b/>
        </w:rPr>
      </w:pPr>
      <w:r w:rsidRPr="003C35B5">
        <w:rPr>
          <w:b/>
        </w:rPr>
        <w:t xml:space="preserve">PUC DOCKET NO. </w:t>
      </w:r>
      <w:r>
        <w:rPr>
          <w:b/>
        </w:rPr>
        <w:t>44</w:t>
      </w:r>
      <w:r w:rsidR="00B035E0">
        <w:rPr>
          <w:b/>
        </w:rPr>
        <w:t>600</w:t>
      </w:r>
    </w:p>
    <w:p w:rsidR="00ED6AE0" w:rsidRPr="003C35B5" w:rsidRDefault="00ED6AE0" w:rsidP="00ED6AE0">
      <w:pPr>
        <w:spacing w:before="0" w:line="240" w:lineRule="auto"/>
        <w:jc w:val="center"/>
        <w:rPr>
          <w:b/>
        </w:rPr>
      </w:pPr>
    </w:p>
    <w:p w:rsidR="00ED6AE0" w:rsidRPr="003C35B5" w:rsidRDefault="00ED6AE0" w:rsidP="00ED6AE0">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ED6AE0" w:rsidRPr="003C35B5" w:rsidTr="00AA0C31">
        <w:tc>
          <w:tcPr>
            <w:tcW w:w="4698" w:type="dxa"/>
          </w:tcPr>
          <w:p w:rsidR="00ED6AE0" w:rsidRPr="003C35B5" w:rsidRDefault="00ED6AE0" w:rsidP="00B035E0">
            <w:pPr>
              <w:spacing w:before="0" w:line="240" w:lineRule="auto"/>
              <w:jc w:val="left"/>
            </w:pPr>
            <w:r>
              <w:rPr>
                <w:b/>
              </w:rPr>
              <w:t xml:space="preserve">APPLICATION OF </w:t>
            </w:r>
            <w:r w:rsidR="00B035E0">
              <w:rPr>
                <w:b/>
              </w:rPr>
              <w:t xml:space="preserve">ROLLING HILLS WATER SERVICE, INC. FOR A </w:t>
            </w:r>
            <w:r>
              <w:rPr>
                <w:b/>
              </w:rPr>
              <w:t>RATE/TARIFF CHANGE</w:t>
            </w:r>
          </w:p>
        </w:tc>
        <w:tc>
          <w:tcPr>
            <w:tcW w:w="360" w:type="dxa"/>
          </w:tcPr>
          <w:p w:rsidR="00ED6AE0" w:rsidRDefault="00ED6AE0" w:rsidP="00AA0C31">
            <w:pPr>
              <w:spacing w:before="0" w:line="240" w:lineRule="auto"/>
              <w:ind w:right="576"/>
              <w:rPr>
                <w:b/>
              </w:rPr>
            </w:pPr>
            <w:r w:rsidRPr="003C35B5">
              <w:rPr>
                <w:b/>
              </w:rPr>
              <w:t>§</w:t>
            </w:r>
          </w:p>
          <w:p w:rsidR="00ED6AE0" w:rsidRDefault="00ED6AE0" w:rsidP="00AA0C31">
            <w:pPr>
              <w:spacing w:before="0" w:line="240" w:lineRule="auto"/>
              <w:ind w:right="576"/>
              <w:rPr>
                <w:b/>
              </w:rPr>
            </w:pPr>
            <w:r w:rsidRPr="003C35B5">
              <w:rPr>
                <w:b/>
              </w:rPr>
              <w:t>§</w:t>
            </w:r>
          </w:p>
          <w:p w:rsidR="00ED6AE0" w:rsidRPr="003C35B5" w:rsidRDefault="00B035E0" w:rsidP="00AA0C31">
            <w:pPr>
              <w:spacing w:before="0" w:line="240" w:lineRule="auto"/>
              <w:ind w:right="576"/>
              <w:rPr>
                <w:b/>
              </w:rPr>
            </w:pPr>
            <w:r>
              <w:rPr>
                <w:b/>
              </w:rPr>
              <w:t>§</w:t>
            </w:r>
          </w:p>
        </w:tc>
        <w:tc>
          <w:tcPr>
            <w:tcW w:w="4518" w:type="dxa"/>
          </w:tcPr>
          <w:p w:rsidR="00ED6AE0" w:rsidRPr="003C35B5" w:rsidRDefault="00ED6AE0" w:rsidP="00AA0C31">
            <w:pPr>
              <w:spacing w:before="0" w:line="240" w:lineRule="auto"/>
              <w:jc w:val="center"/>
              <w:rPr>
                <w:b/>
              </w:rPr>
            </w:pPr>
            <w:r w:rsidRPr="003C35B5">
              <w:rPr>
                <w:b/>
              </w:rPr>
              <w:t>PUBLIC UTILITY COMMISSION</w:t>
            </w:r>
          </w:p>
          <w:p w:rsidR="00ED6AE0" w:rsidRPr="003C35B5" w:rsidRDefault="00ED6AE0" w:rsidP="00AA0C31">
            <w:pPr>
              <w:spacing w:before="0" w:line="240" w:lineRule="auto"/>
              <w:jc w:val="center"/>
              <w:rPr>
                <w:b/>
              </w:rPr>
            </w:pPr>
          </w:p>
          <w:p w:rsidR="00ED6AE0" w:rsidRPr="003C35B5" w:rsidRDefault="00ED6AE0" w:rsidP="00AA0C31">
            <w:pPr>
              <w:spacing w:before="0" w:line="240" w:lineRule="auto"/>
              <w:jc w:val="center"/>
              <w:rPr>
                <w:b/>
              </w:rPr>
            </w:pPr>
            <w:r w:rsidRPr="003C35B5">
              <w:rPr>
                <w:b/>
              </w:rPr>
              <w:t>OF TEXAS</w:t>
            </w:r>
          </w:p>
        </w:tc>
      </w:tr>
    </w:tbl>
    <w:p w:rsidR="00ED6AE0" w:rsidRPr="003C35B5" w:rsidRDefault="00ED6AE0" w:rsidP="00ED6AE0">
      <w:pPr>
        <w:spacing w:before="0" w:line="240" w:lineRule="auto"/>
        <w:jc w:val="center"/>
        <w:rPr>
          <w:b/>
        </w:rPr>
      </w:pPr>
    </w:p>
    <w:p w:rsidR="00ED6AE0" w:rsidRDefault="00ED6AE0" w:rsidP="00ED6AE0">
      <w:pPr>
        <w:spacing w:before="0"/>
        <w:jc w:val="center"/>
        <w:rPr>
          <w:b/>
        </w:rPr>
      </w:pPr>
    </w:p>
    <w:p w:rsidR="00ED6AE0" w:rsidRPr="003C35B5" w:rsidRDefault="00ED6AE0" w:rsidP="00ED6AE0">
      <w:pPr>
        <w:spacing w:before="0"/>
        <w:jc w:val="center"/>
      </w:pPr>
      <w:r w:rsidRPr="003C35B5">
        <w:rPr>
          <w:b/>
        </w:rPr>
        <w:t>PRELIMINARY ORDER</w:t>
      </w:r>
    </w:p>
    <w:p w:rsidR="00ED6AE0" w:rsidRPr="003C35B5" w:rsidRDefault="00ED6AE0" w:rsidP="00ED6AE0">
      <w:pPr>
        <w:spacing w:before="0"/>
        <w:jc w:val="center"/>
        <w:rPr>
          <w:b/>
        </w:rPr>
      </w:pPr>
    </w:p>
    <w:p w:rsidR="00ED6AE0" w:rsidRDefault="00ED6AE0" w:rsidP="00ED6AE0">
      <w:pPr>
        <w:pStyle w:val="BodyText"/>
      </w:pPr>
      <w:r w:rsidRPr="003C35B5">
        <w:rPr>
          <w:b/>
        </w:rPr>
        <w:tab/>
      </w:r>
      <w:r>
        <w:t xml:space="preserve">On </w:t>
      </w:r>
      <w:r w:rsidR="000061D9">
        <w:t>March 31</w:t>
      </w:r>
      <w:r>
        <w:t xml:space="preserve">, 2015, </w:t>
      </w:r>
      <w:r w:rsidR="000061D9">
        <w:t>Rolling Hills Water Service, Inc.</w:t>
      </w:r>
      <w:r>
        <w:t xml:space="preserve"> filed an application for a </w:t>
      </w:r>
      <w:r w:rsidR="000061D9">
        <w:t xml:space="preserve">water </w:t>
      </w:r>
      <w:r>
        <w:t xml:space="preserve">rate and tariff change.  </w:t>
      </w:r>
      <w:r w:rsidR="000061D9">
        <w:t>On September 28</w:t>
      </w:r>
      <w:r>
        <w:t xml:space="preserve">, 2015, Commission Staff recommended that this docket be referred to the State Office of Administrative Hearings (SOAH) for a hearing on the requested rate.  This docket was referred to SOAH on </w:t>
      </w:r>
      <w:r w:rsidR="000061D9">
        <w:t>October 1</w:t>
      </w:r>
      <w:r>
        <w:t xml:space="preserve">, 2015.  On </w:t>
      </w:r>
      <w:r w:rsidR="000061D9">
        <w:t>October 16</w:t>
      </w:r>
      <w:r>
        <w:t>, Commission Staff timely filed a</w:t>
      </w:r>
      <w:r w:rsidR="000061D9">
        <w:t xml:space="preserve"> proposed</w:t>
      </w:r>
      <w:r>
        <w:t xml:space="preserve"> list of issues.</w:t>
      </w:r>
    </w:p>
    <w:p w:rsidR="00ED6AE0" w:rsidRDefault="000061D9" w:rsidP="00ED6AE0">
      <w:pPr>
        <w:pStyle w:val="BodyText"/>
        <w:ind w:firstLine="720"/>
      </w:pPr>
      <w:r>
        <w:t>Rolling Hills</w:t>
      </w:r>
      <w:r w:rsidR="00ED6AE0">
        <w:t xml:space="preserve"> serves </w:t>
      </w:r>
      <w:r>
        <w:t>78</w:t>
      </w:r>
      <w:r w:rsidR="00ED6AE0">
        <w:t xml:space="preserve"> customers in Hood County</w:t>
      </w:r>
      <w:r>
        <w:t>, Texas</w:t>
      </w:r>
      <w:r w:rsidR="00ED6AE0">
        <w:t>.</w:t>
      </w:r>
      <w:r>
        <w:rPr>
          <w:rStyle w:val="FootnoteReference"/>
        </w:rPr>
        <w:footnoteReference w:id="1"/>
      </w:r>
      <w:r w:rsidR="00ED6AE0">
        <w:t xml:space="preserve">  </w:t>
      </w:r>
      <w:r>
        <w:t>Rolling Hills</w:t>
      </w:r>
      <w:r w:rsidR="00ED6AE0">
        <w:t>’s application state</w:t>
      </w:r>
      <w:r>
        <w:t>s</w:t>
      </w:r>
      <w:r w:rsidR="00ED6AE0">
        <w:t xml:space="preserve"> that the rate change </w:t>
      </w:r>
      <w:r>
        <w:t>is</w:t>
      </w:r>
      <w:r w:rsidR="00ED6AE0">
        <w:t xml:space="preserve"> necessary </w:t>
      </w:r>
      <w:r>
        <w:t>because revenues have not kept up with inflation</w:t>
      </w:r>
      <w:r w:rsidR="00014EAA">
        <w:t>,</w:t>
      </w:r>
      <w:r>
        <w:t xml:space="preserve"> because the water system is in poor repair</w:t>
      </w:r>
      <w:r w:rsidR="00014EAA">
        <w:t>,</w:t>
      </w:r>
      <w:r>
        <w:t xml:space="preserve"> and</w:t>
      </w:r>
      <w:r w:rsidR="00014EAA">
        <w:t xml:space="preserve"> because</w:t>
      </w:r>
      <w:r>
        <w:t xml:space="preserve"> additional revenues are needed to improve the water quality.</w:t>
      </w:r>
      <w:r w:rsidR="00014EAA">
        <w:rPr>
          <w:rStyle w:val="FootnoteReference"/>
        </w:rPr>
        <w:footnoteReference w:id="2"/>
      </w:r>
      <w:r w:rsidR="00014EAA">
        <w:t xml:space="preserve">  Rolling Hills</w:t>
      </w:r>
      <w:r w:rsidR="00ED6AE0">
        <w:t xml:space="preserve"> requests an annual revenue increase of $</w:t>
      </w:r>
      <w:r w:rsidR="00014EAA">
        <w:t>15,865</w:t>
      </w:r>
      <w:r w:rsidR="00ED6AE0">
        <w:t xml:space="preserve"> effective </w:t>
      </w:r>
      <w:r w:rsidR="00014EAA">
        <w:t>June 1</w:t>
      </w:r>
      <w:r w:rsidR="00ED6AE0">
        <w:t>, 2015.</w:t>
      </w:r>
      <w:r w:rsidR="00ED6AE0">
        <w:rPr>
          <w:rStyle w:val="FootnoteReference"/>
        </w:rPr>
        <w:footnoteReference w:id="3"/>
      </w:r>
      <w:r w:rsidR="00ED6AE0">
        <w:t xml:space="preserve">  </w:t>
      </w:r>
      <w:r w:rsidR="00014EAA">
        <w:t>Rolling Hills</w:t>
      </w:r>
      <w:r w:rsidR="00ED6AE0">
        <w:t xml:space="preserve">’s last rate increase was in </w:t>
      </w:r>
      <w:r w:rsidR="00014EAA">
        <w:t>2012</w:t>
      </w:r>
      <w:r w:rsidR="00ED6AE0">
        <w:t>.</w:t>
      </w:r>
      <w:r w:rsidR="00014EAA">
        <w:rPr>
          <w:rStyle w:val="FootnoteReference"/>
        </w:rPr>
        <w:footnoteReference w:id="4"/>
      </w:r>
      <w:r w:rsidR="00ED6AE0">
        <w:t xml:space="preserve">  In its application, </w:t>
      </w:r>
      <w:r w:rsidR="00014EAA">
        <w:t>Rolling Hills</w:t>
      </w:r>
      <w:r w:rsidR="00ED6AE0">
        <w:t xml:space="preserve"> provides a billing comparison that shows that under its proposed rate increase, the cost of 10,000 gallons of water per customer would increase from $</w:t>
      </w:r>
      <w:r w:rsidR="00014EAA">
        <w:t>40.00</w:t>
      </w:r>
      <w:r w:rsidR="00ED6AE0">
        <w:t xml:space="preserve"> per month to $6</w:t>
      </w:r>
      <w:r w:rsidR="00014EAA">
        <w:t>6</w:t>
      </w:r>
      <w:r w:rsidR="00ED6AE0">
        <w:t>.</w:t>
      </w:r>
      <w:r w:rsidR="00014EAA">
        <w:t>87</w:t>
      </w:r>
      <w:r w:rsidR="00ED6AE0">
        <w:t xml:space="preserve"> per month and the charge for 30,000 gallons would increase from $</w:t>
      </w:r>
      <w:r w:rsidR="00014EAA">
        <w:t>70.00</w:t>
      </w:r>
      <w:r w:rsidR="00ED6AE0">
        <w:t xml:space="preserve"> per month to $12</w:t>
      </w:r>
      <w:r w:rsidR="00014EAA">
        <w:t xml:space="preserve">1.67 </w:t>
      </w:r>
      <w:r w:rsidR="00ED6AE0">
        <w:t>per month.</w:t>
      </w:r>
      <w:r w:rsidR="00ED6AE0">
        <w:rPr>
          <w:rStyle w:val="FootnoteReference"/>
        </w:rPr>
        <w:footnoteReference w:id="5"/>
      </w:r>
      <w:r w:rsidR="00ED6AE0">
        <w:t xml:space="preserve">  The base rate for a </w:t>
      </w:r>
      <w:r w:rsidR="00014EAA">
        <w:t>5/8-</w:t>
      </w:r>
      <w:r w:rsidR="00014EAA">
        <w:lastRenderedPageBreak/>
        <w:t xml:space="preserve">inch or 3/4-inch </w:t>
      </w:r>
      <w:r w:rsidR="00ED6AE0">
        <w:t>residential meter will increase from $</w:t>
      </w:r>
      <w:r w:rsidR="00014EAA">
        <w:t>28.00</w:t>
      </w:r>
      <w:r w:rsidR="00ED6AE0">
        <w:t xml:space="preserve"> per month to $</w:t>
      </w:r>
      <w:r w:rsidR="00014EAA">
        <w:t>44.95 per month</w:t>
      </w:r>
      <w:r w:rsidR="00ED6AE0">
        <w:t>.</w:t>
      </w:r>
      <w:r w:rsidR="00ED6AE0">
        <w:rPr>
          <w:rStyle w:val="FootnoteReference"/>
        </w:rPr>
        <w:footnoteReference w:id="6"/>
      </w:r>
      <w:r w:rsidR="00ED6AE0">
        <w:t xml:space="preserve">  Additionally, </w:t>
      </w:r>
      <w:r w:rsidR="00014EAA">
        <w:t>the tap fee will</w:t>
      </w:r>
      <w:r w:rsidR="00ED6AE0">
        <w:t xml:space="preserve"> increase</w:t>
      </w:r>
      <w:r w:rsidR="00014EAA">
        <w:t xml:space="preserve"> from $250.00 to $350.00</w:t>
      </w:r>
      <w:r w:rsidR="00ED6AE0">
        <w:t>.</w:t>
      </w:r>
      <w:r w:rsidR="00ED6AE0">
        <w:rPr>
          <w:rStyle w:val="FootnoteReference"/>
        </w:rPr>
        <w:footnoteReference w:id="7"/>
      </w:r>
    </w:p>
    <w:p w:rsidR="00ED6AE0" w:rsidRDefault="00ED6AE0" w:rsidP="00ED6AE0">
      <w:pPr>
        <w:pStyle w:val="BodyText"/>
        <w:ind w:firstLine="720"/>
      </w:pPr>
    </w:p>
    <w:p w:rsidR="00ED6AE0" w:rsidRPr="003C35B5" w:rsidRDefault="00ED6AE0" w:rsidP="003238E9">
      <w:pPr>
        <w:spacing w:before="0" w:after="240"/>
        <w:jc w:val="center"/>
      </w:pPr>
      <w:r w:rsidRPr="003C35B5">
        <w:rPr>
          <w:b/>
        </w:rPr>
        <w:t xml:space="preserve">I.  Issues to be </w:t>
      </w:r>
      <w:proofErr w:type="gramStart"/>
      <w:r w:rsidRPr="003C35B5">
        <w:rPr>
          <w:b/>
        </w:rPr>
        <w:t>Addressed</w:t>
      </w:r>
      <w:proofErr w:type="gramEnd"/>
    </w:p>
    <w:p w:rsidR="00ED6AE0" w:rsidRPr="003C35B5" w:rsidRDefault="00ED6AE0" w:rsidP="00ED6AE0">
      <w:pPr>
        <w:spacing w:before="0"/>
      </w:pPr>
      <w:r w:rsidRPr="003C35B5">
        <w:tab/>
        <w:t>The Commission must provide to the administrative law judge (ALJ) a list of issues or areas to be addressed in any proceeding referred to the State Office of Administrative Hearings (SOAH).</w:t>
      </w:r>
      <w:r w:rsidR="008F5754">
        <w:rPr>
          <w:rStyle w:val="FootnoteReference"/>
        </w:rPr>
        <w:footnoteReference w:id="8"/>
      </w:r>
      <w:r w:rsidRPr="003C35B5">
        <w:t xml:space="preserve">  After reviewing the pleadings submitted by the parties, the Commission identifies the following issues that must be addressed in this docket:</w:t>
      </w:r>
    </w:p>
    <w:p w:rsidR="00ED6AE0" w:rsidRDefault="00ED6AE0" w:rsidP="00ED6AE0">
      <w:pPr>
        <w:pStyle w:val="StyleItemListBefore12pt"/>
        <w:spacing w:before="220"/>
      </w:pPr>
      <w:r>
        <w:t>What are the just and reasonable rates for the utility that are sufficient, equitable, and consistent in application to each customer class and that are not unreasonably preferential, prejudicial, or discriminatory as required by Texas Water Code (TWC) § 13.182?</w:t>
      </w:r>
    </w:p>
    <w:p w:rsidR="00ED6AE0" w:rsidRPr="005F5A80" w:rsidRDefault="00ED6AE0" w:rsidP="00ED6AE0">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w:t>
      </w:r>
      <w:r>
        <w:t>exas Administrative Code (T</w:t>
      </w:r>
      <w:r w:rsidRPr="005F5A80">
        <w:t>AC</w:t>
      </w:r>
      <w:r>
        <w:t>)</w:t>
      </w:r>
      <w:r w:rsidR="00675522">
        <w:t xml:space="preserve"> § </w:t>
      </w:r>
      <w:r w:rsidRPr="005F5A80">
        <w:t>24.32(a)</w:t>
      </w:r>
      <w:r>
        <w:t>.</w:t>
      </w:r>
      <w:r w:rsidRPr="005F5A80">
        <w:t xml:space="preserve"> </w:t>
      </w:r>
    </w:p>
    <w:p w:rsidR="00ED6AE0" w:rsidRPr="005F5A80" w:rsidRDefault="00ED6AE0" w:rsidP="00ED6AE0">
      <w:pPr>
        <w:pStyle w:val="StyleItemListBefore12pt"/>
        <w:spacing w:before="220"/>
      </w:pPr>
      <w:r w:rsidRPr="005F5A80">
        <w:t xml:space="preserve">What is the reasonable and necessary cost of providing water service calculated in accordance with 16 TAC § 24.31? </w:t>
      </w:r>
    </w:p>
    <w:p w:rsidR="00ED6AE0" w:rsidRPr="005F5A80" w:rsidRDefault="00ED6AE0" w:rsidP="00ED6AE0">
      <w:pPr>
        <w:pStyle w:val="StyleItemListBefore12pt"/>
        <w:spacing w:before="220"/>
      </w:pPr>
      <w:r w:rsidRPr="005F5A80">
        <w:t xml:space="preserve">What adjustments, if any, should be made to the utility’s </w:t>
      </w:r>
      <w:r w:rsidR="00675522">
        <w:t>proposed test-year data?  TWC § </w:t>
      </w:r>
      <w:r w:rsidRPr="005F5A80">
        <w:t>13.185(d</w:t>
      </w:r>
      <w:proofErr w:type="gramStart"/>
      <w:r w:rsidRPr="005F5A80">
        <w:t>)(</w:t>
      </w:r>
      <w:proofErr w:type="gramEnd"/>
      <w:r w:rsidRPr="005F5A80">
        <w:t>1) and 16 TAC § 24.31(b)</w:t>
      </w:r>
      <w:r>
        <w:t>.</w:t>
      </w:r>
      <w:r w:rsidRPr="005F5A80">
        <w:t xml:space="preserve"> </w:t>
      </w:r>
    </w:p>
    <w:p w:rsidR="00ED6AE0" w:rsidRPr="005F5A80" w:rsidRDefault="00ED6AE0" w:rsidP="00ED6AE0">
      <w:pPr>
        <w:pStyle w:val="StyleItemListBefore12pt"/>
        <w:spacing w:before="220"/>
      </w:pPr>
      <w:r w:rsidRPr="005F5A80">
        <w:t>What is the appropriate debt-to-equity capital structure of the utility?</w:t>
      </w:r>
    </w:p>
    <w:p w:rsidR="00ED6AE0" w:rsidRPr="005F5A80" w:rsidRDefault="00ED6AE0" w:rsidP="00ED6AE0">
      <w:pPr>
        <w:pStyle w:val="StyleItemListBefore12pt"/>
        <w:spacing w:before="220"/>
      </w:pPr>
      <w:r w:rsidRPr="005F5A80">
        <w:t xml:space="preserve">What is the appropriate overall rate of return, return on equity, and cost of debt for the utility?  </w:t>
      </w:r>
      <w:r>
        <w:t>16 TAC § 24.31(c</w:t>
      </w:r>
      <w:proofErr w:type="gramStart"/>
      <w:r>
        <w:t>)(</w:t>
      </w:r>
      <w:proofErr w:type="gramEnd"/>
      <w:r>
        <w:t>1).</w:t>
      </w:r>
    </w:p>
    <w:p w:rsidR="00ED6AE0" w:rsidRPr="005F5A80" w:rsidRDefault="00ED6AE0" w:rsidP="00ED6AE0">
      <w:pPr>
        <w:pStyle w:val="StyleItemListBefore12pt"/>
        <w:spacing w:before="220"/>
      </w:pPr>
      <w:r w:rsidRPr="005F5A80">
        <w:lastRenderedPageBreak/>
        <w:t xml:space="preserve">What are the reasonable and necessary components of the </w:t>
      </w:r>
      <w:proofErr w:type="gramStart"/>
      <w:r w:rsidRPr="005F5A80">
        <w:t>utility’s</w:t>
      </w:r>
      <w:proofErr w:type="gramEnd"/>
      <w:r w:rsidRPr="005F5A80">
        <w:t xml:space="preserve"> invested capital? </w:t>
      </w:r>
      <w:r>
        <w:t>16 TAC § 24.31(c</w:t>
      </w:r>
      <w:proofErr w:type="gramStart"/>
      <w:r>
        <w:t>)(</w:t>
      </w:r>
      <w:proofErr w:type="gramEnd"/>
      <w:r>
        <w:t>2).</w:t>
      </w:r>
    </w:p>
    <w:p w:rsidR="00ED6AE0" w:rsidRPr="005F5A80" w:rsidRDefault="00ED6AE0" w:rsidP="00ED6AE0">
      <w:pPr>
        <w:pStyle w:val="StyleItemListBefore12pt"/>
        <w:spacing w:before="220"/>
      </w:pPr>
      <w:r w:rsidRPr="005F5A80">
        <w:t xml:space="preserve">What is the original cost of the property used and useful in providing water service to the public at the time the property was dedicated to public use?  TWC § 13.185(b) and </w:t>
      </w:r>
      <w:r>
        <w:t>16 TAC § 24.31(c</w:t>
      </w:r>
      <w:proofErr w:type="gramStart"/>
      <w:r>
        <w:t>)(</w:t>
      </w:r>
      <w:proofErr w:type="gramEnd"/>
      <w:r>
        <w:t>2)(A) and (B).</w:t>
      </w:r>
      <w:r w:rsidRPr="005F5A80">
        <w:t xml:space="preserve"> </w:t>
      </w:r>
    </w:p>
    <w:p w:rsidR="00ED6AE0" w:rsidRDefault="00ED6AE0" w:rsidP="00ED6AE0">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t>16 TAC § 24.31(c</w:t>
      </w:r>
      <w:proofErr w:type="gramStart"/>
      <w:r>
        <w:t>)(</w:t>
      </w:r>
      <w:proofErr w:type="gramEnd"/>
      <w:r>
        <w:t>2)(B)(</w:t>
      </w:r>
      <w:proofErr w:type="spellStart"/>
      <w:r>
        <w:t>i</w:t>
      </w:r>
      <w:proofErr w:type="spellEnd"/>
      <w:r>
        <w:t>).</w:t>
      </w:r>
    </w:p>
    <w:p w:rsidR="00ED6AE0" w:rsidRPr="005F5A80" w:rsidRDefault="00ED6AE0" w:rsidP="00ED6AE0">
      <w:pPr>
        <w:pStyle w:val="StyleItemListBefore12pt"/>
        <w:spacing w:before="220"/>
      </w:pPr>
      <w:r>
        <w:t>Has the utility acquired any water or sewer property from an affiliate?  If so, do the payments for that property meet requirements of TWC § 13.185(e)?</w:t>
      </w:r>
    </w:p>
    <w:p w:rsidR="00ED6AE0" w:rsidRPr="005F5A80" w:rsidRDefault="00ED6AE0" w:rsidP="00ED6AE0">
      <w:pPr>
        <w:pStyle w:val="StyleItemListBefore12pt"/>
        <w:spacing w:before="220"/>
      </w:pPr>
      <w:r w:rsidRPr="005F5A80">
        <w:t>Has the utility financed any of its plant with developer contributions?</w:t>
      </w:r>
    </w:p>
    <w:p w:rsidR="00ED6AE0" w:rsidRPr="005F5A80" w:rsidRDefault="00ED6AE0" w:rsidP="00ED6AE0">
      <w:pPr>
        <w:pStyle w:val="StyleItemListBefore12pt"/>
        <w:spacing w:before="220"/>
      </w:pPr>
      <w:r w:rsidRPr="005F5A80">
        <w:t>Has the utility included any customer contributions or donations in invested capital?</w:t>
      </w:r>
    </w:p>
    <w:p w:rsidR="00ED6AE0" w:rsidRPr="005F5A80" w:rsidRDefault="00ED6AE0" w:rsidP="00ED6AE0">
      <w:pPr>
        <w:pStyle w:val="StyleItemListBefore12pt"/>
        <w:spacing w:before="220"/>
      </w:pPr>
      <w:r w:rsidRPr="005F5A80">
        <w:t>What is the amount, if any, of accumulated depreciation on that property?</w:t>
      </w:r>
    </w:p>
    <w:p w:rsidR="00ED6AE0" w:rsidRPr="005F5A80" w:rsidRDefault="00ED6AE0" w:rsidP="00ED6AE0">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w:t>
      </w:r>
      <w:r>
        <w:t>planned and managed?  TWC § 13.</w:t>
      </w:r>
      <w:r w:rsidRPr="005F5A80">
        <w:t xml:space="preserve">185(b) and </w:t>
      </w:r>
      <w:r>
        <w:t>16 TAC § 24.31(c</w:t>
      </w:r>
      <w:proofErr w:type="gramStart"/>
      <w:r>
        <w:t>)(</w:t>
      </w:r>
      <w:proofErr w:type="gramEnd"/>
      <w:r w:rsidR="0093471E">
        <w:t>4</w:t>
      </w:r>
      <w:r>
        <w:t>).</w:t>
      </w:r>
    </w:p>
    <w:p w:rsidR="00ED6AE0" w:rsidRPr="005F5A80" w:rsidRDefault="00ED6AE0" w:rsidP="00ED6AE0">
      <w:pPr>
        <w:pStyle w:val="StyleItemListBefore12pt"/>
        <w:spacing w:before="220"/>
      </w:pPr>
      <w:r w:rsidRPr="005F5A80">
        <w:t xml:space="preserve">What is the reasonable and necessary working capital allowance for the utility?  </w:t>
      </w:r>
      <w:r w:rsidR="00675522">
        <w:t>16 TAC § </w:t>
      </w:r>
      <w:r>
        <w:t>24.31(c</w:t>
      </w:r>
      <w:proofErr w:type="gramStart"/>
      <w:r>
        <w:t>)(</w:t>
      </w:r>
      <w:proofErr w:type="gramEnd"/>
      <w:r>
        <w:t>2)(C).</w:t>
      </w:r>
    </w:p>
    <w:p w:rsidR="00ED6AE0" w:rsidRPr="005F5A80" w:rsidRDefault="00ED6AE0" w:rsidP="00ED6AE0">
      <w:pPr>
        <w:pStyle w:val="StyleItemListBefore12pt"/>
        <w:spacing w:before="220"/>
      </w:pPr>
      <w:r w:rsidRPr="005F5A80">
        <w:t>Does the utility have any debt, and, if so, what is the cost of that debt?</w:t>
      </w:r>
    </w:p>
    <w:p w:rsidR="00ED6AE0" w:rsidRPr="005F5A80" w:rsidRDefault="00ED6AE0" w:rsidP="00ED6AE0">
      <w:pPr>
        <w:pStyle w:val="StyleItemListBefore12pt"/>
        <w:spacing w:before="220"/>
      </w:pPr>
      <w:r w:rsidRPr="005F5A80">
        <w:t xml:space="preserve">What are the utility’s reasonable and necessary operations and maintenance expenses?  </w:t>
      </w:r>
      <w:r w:rsidR="00675522">
        <w:t>16 </w:t>
      </w:r>
      <w:r>
        <w:t>TAC § 24.31(b</w:t>
      </w:r>
      <w:proofErr w:type="gramStart"/>
      <w:r>
        <w:t>)(</w:t>
      </w:r>
      <w:proofErr w:type="gramEnd"/>
      <w:r>
        <w:t>1)(A).</w:t>
      </w:r>
    </w:p>
    <w:p w:rsidR="00ED6AE0" w:rsidRPr="005F5A80" w:rsidRDefault="00ED6AE0" w:rsidP="00ED6AE0">
      <w:pPr>
        <w:pStyle w:val="StyleItemListBefore12pt"/>
        <w:spacing w:before="220"/>
      </w:pPr>
      <w:r w:rsidRPr="005F5A80">
        <w:lastRenderedPageBreak/>
        <w:t>What are the utility’s reasonable and necessary administrative and general expenses?</w:t>
      </w:r>
    </w:p>
    <w:p w:rsidR="00ED6AE0" w:rsidRPr="005F5A80" w:rsidRDefault="00ED6AE0" w:rsidP="00ED6AE0">
      <w:pPr>
        <w:pStyle w:val="StyleItemListBefore12pt"/>
        <w:spacing w:before="220"/>
      </w:pPr>
      <w:r w:rsidRPr="005F5A80">
        <w:t xml:space="preserve">What is the reasonable and necessary depreciation expense?  For each class of property, what are the proper and adequate depreciation rates (including service lives and salvage values) and methods for depreciation?  TWC §13.185(j) and </w:t>
      </w:r>
      <w:r>
        <w:t>16 TAC § 24.31(b</w:t>
      </w:r>
      <w:proofErr w:type="gramStart"/>
      <w:r>
        <w:t>)(</w:t>
      </w:r>
      <w:proofErr w:type="gramEnd"/>
      <w:r>
        <w:t>1)(B).</w:t>
      </w:r>
      <w:r w:rsidRPr="005F5A80">
        <w:t xml:space="preserve"> </w:t>
      </w:r>
    </w:p>
    <w:p w:rsidR="00ED6AE0" w:rsidRPr="005F5A80" w:rsidRDefault="00ED6AE0" w:rsidP="00ED6AE0">
      <w:pPr>
        <w:pStyle w:val="StyleItemListBefore12pt"/>
        <w:spacing w:before="220"/>
      </w:pPr>
      <w:r w:rsidRPr="005F5A80">
        <w:t xml:space="preserve">What is the reasonable and necessary amount for assessment and taxes, other than federal income taxes?  </w:t>
      </w:r>
      <w:r>
        <w:t>16 TAC § 24.31(b</w:t>
      </w:r>
      <w:proofErr w:type="gramStart"/>
      <w:r>
        <w:t>)(</w:t>
      </w:r>
      <w:proofErr w:type="gramEnd"/>
      <w:r>
        <w:t>1)(C).</w:t>
      </w:r>
      <w:r w:rsidRPr="005F5A80">
        <w:t xml:space="preserve"> </w:t>
      </w:r>
    </w:p>
    <w:p w:rsidR="00ED6AE0" w:rsidRPr="005F5A80" w:rsidRDefault="00ED6AE0" w:rsidP="00ED6AE0">
      <w:pPr>
        <w:pStyle w:val="StyleItemListBefore12pt"/>
        <w:spacing w:before="220"/>
      </w:pPr>
      <w:r w:rsidRPr="005F5A80">
        <w:t>What is the reasonable and necessary amount for the utility’s federal income tax expense?  16 TAC § 24.31(b</w:t>
      </w:r>
      <w:proofErr w:type="gramStart"/>
      <w:r w:rsidRPr="005F5A80">
        <w:t>)(</w:t>
      </w:r>
      <w:proofErr w:type="gramEnd"/>
      <w:r w:rsidRPr="005F5A80">
        <w:t xml:space="preserve">1)(D) and, if applicable, </w:t>
      </w:r>
      <w:r>
        <w:t>TWC § 13.185(f).</w:t>
      </w:r>
    </w:p>
    <w:p w:rsidR="00ED6AE0" w:rsidRDefault="00ED6AE0" w:rsidP="00ED6AE0">
      <w:pPr>
        <w:pStyle w:val="StyleItemListBefore12pt"/>
        <w:numPr>
          <w:ilvl w:val="1"/>
          <w:numId w:val="2"/>
        </w:numPr>
        <w:spacing w:before="220"/>
      </w:pPr>
      <w:r w:rsidRPr="005F5A80">
        <w:t>Is the utility a member of an affiliated group that is eligible to file a consolidated income tax return?</w:t>
      </w:r>
      <w:r>
        <w:t xml:space="preserve">  TWC § 13.185(f).</w:t>
      </w:r>
      <w:r w:rsidRPr="005F5A80">
        <w:t xml:space="preserve">  </w:t>
      </w:r>
    </w:p>
    <w:p w:rsidR="00ED6AE0" w:rsidRDefault="00ED6AE0" w:rsidP="00ED6AE0">
      <w:pPr>
        <w:pStyle w:val="StyleItemListBefore12pt"/>
        <w:numPr>
          <w:ilvl w:val="1"/>
          <w:numId w:val="2"/>
        </w:numPr>
        <w:spacing w:before="220"/>
      </w:pPr>
      <w:r w:rsidRPr="005F5A80">
        <w:t>If so, have income taxes been computed as though a consolidated return had been filed and the utility realized its fair share of the savings resulting from the consolidated return?</w:t>
      </w:r>
      <w:r>
        <w:t xml:space="preserve">  TWC § 13.185(f).</w:t>
      </w:r>
      <w:r w:rsidRPr="005F5A80">
        <w:t xml:space="preserve">  </w:t>
      </w:r>
    </w:p>
    <w:p w:rsidR="00ED6AE0" w:rsidRPr="005F5A80" w:rsidRDefault="00ED6AE0" w:rsidP="00ED6AE0">
      <w:pPr>
        <w:pStyle w:val="StyleItemListBefore12pt"/>
        <w:numPr>
          <w:ilvl w:val="1"/>
          <w:numId w:val="2"/>
        </w:numPr>
        <w:spacing w:before="220"/>
      </w:pPr>
      <w:r w:rsidRPr="005F5A80">
        <w:t>If not, has the utility demonstrated that it was reasonable not to consol</w:t>
      </w:r>
      <w:r>
        <w:t>idate returns?  TWC § 13.185(f).</w:t>
      </w:r>
    </w:p>
    <w:p w:rsidR="00ED6AE0" w:rsidRPr="005F5A80" w:rsidRDefault="00ED6AE0" w:rsidP="00ED6AE0">
      <w:pPr>
        <w:pStyle w:val="StyleItemListBefore12pt"/>
        <w:spacing w:before="220"/>
      </w:pPr>
      <w:r w:rsidRPr="005F5A80">
        <w:t>Is the utility seeking rates for both water and sewer service?  If so, is the revenue requirement properly allocated between water and sewer services?</w:t>
      </w:r>
    </w:p>
    <w:p w:rsidR="00ED6AE0" w:rsidRPr="005F5A80" w:rsidRDefault="000E5C4E" w:rsidP="00ED6AE0">
      <w:pPr>
        <w:pStyle w:val="StyleItemListBefore12pt"/>
        <w:spacing w:before="220"/>
      </w:pPr>
      <w:r>
        <w:t>What</w:t>
      </w:r>
      <w:r w:rsidR="00ED6AE0" w:rsidRPr="005F5A80">
        <w:t xml:space="preserve"> is the appropriate allocation of the revenue requirement among rate classes?</w:t>
      </w:r>
    </w:p>
    <w:p w:rsidR="00ED6AE0" w:rsidRPr="005F5A80" w:rsidRDefault="00ED6AE0" w:rsidP="00ED6AE0">
      <w:pPr>
        <w:pStyle w:val="StyleItemListBefore12pt"/>
        <w:spacing w:before="220"/>
      </w:pPr>
      <w:r w:rsidRPr="005F5A80">
        <w:t>What is the appropriate rate design for each rate class?</w:t>
      </w:r>
    </w:p>
    <w:p w:rsidR="00ED6AE0" w:rsidRPr="005F5A80" w:rsidRDefault="00ED6AE0" w:rsidP="00ED6AE0">
      <w:pPr>
        <w:pStyle w:val="StyleItemListBefore12pt"/>
        <w:spacing w:before="220"/>
      </w:pPr>
      <w:r w:rsidRPr="005F5A80">
        <w:t xml:space="preserve">What are the utility’s reasonable and necessary expenses incurred in this </w:t>
      </w:r>
      <w:r>
        <w:t xml:space="preserve">rate </w:t>
      </w:r>
      <w:r w:rsidRPr="005F5A80">
        <w:t xml:space="preserve">proceeding?  </w:t>
      </w:r>
    </w:p>
    <w:p w:rsidR="00ED6AE0" w:rsidRDefault="00ED6AE0" w:rsidP="00ED6AE0">
      <w:pPr>
        <w:pStyle w:val="StyleItemListBefore12pt"/>
        <w:spacing w:before="220"/>
      </w:pPr>
      <w:r>
        <w:t>If a refund or surcharge results from this proceeding, how and over what period of time should that be made?  TWC § 13.187</w:t>
      </w:r>
      <w:r w:rsidR="00E05A57">
        <w:t>1</w:t>
      </w:r>
      <w:r>
        <w:t>.</w:t>
      </w:r>
    </w:p>
    <w:p w:rsidR="00ED6AE0" w:rsidRDefault="00ED6AE0" w:rsidP="00ED6AE0">
      <w:pPr>
        <w:pStyle w:val="StyleItemListBefore12pt"/>
        <w:spacing w:before="220"/>
      </w:pPr>
      <w:r>
        <w:t>Has the utility met the requirements for a request for interim relief in the form of interim rates?  If so, what are the appropriate levels of the interim rates?  16 TAC § 24.29.</w:t>
      </w:r>
    </w:p>
    <w:p w:rsidR="00ED6AE0" w:rsidRDefault="00ED6AE0" w:rsidP="00ED6AE0">
      <w:pPr>
        <w:pStyle w:val="StyleItemListBefore12pt"/>
        <w:spacing w:before="220"/>
      </w:pPr>
      <w:r>
        <w:lastRenderedPageBreak/>
        <w:t>What is the appropriate effective date of the rates fixed by the Commission in this proceeding?  TWC § 13.187</w:t>
      </w:r>
      <w:r w:rsidR="00E05A57">
        <w:t>1</w:t>
      </w:r>
      <w:r>
        <w:t xml:space="preserve">.  </w:t>
      </w:r>
    </w:p>
    <w:p w:rsidR="00ED6AE0" w:rsidRPr="003C35B5" w:rsidRDefault="00ED6AE0" w:rsidP="00ED6AE0">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110952">
        <w:t>Tex. Gov’t Code Ann.</w:t>
      </w:r>
      <w:r w:rsidRPr="003C35B5">
        <w:t xml:space="preserve"> § 2003.049(e).</w:t>
      </w:r>
    </w:p>
    <w:p w:rsidR="00ED6AE0" w:rsidRPr="003C35B5" w:rsidRDefault="00ED6AE0" w:rsidP="00ED6AE0">
      <w:pPr>
        <w:spacing w:before="0"/>
      </w:pPr>
    </w:p>
    <w:p w:rsidR="00ED6AE0" w:rsidRPr="003C35B5" w:rsidRDefault="00ED6AE0" w:rsidP="00ED6AE0">
      <w:pPr>
        <w:spacing w:before="0"/>
        <w:jc w:val="center"/>
      </w:pPr>
      <w:r>
        <w:rPr>
          <w:b/>
        </w:rPr>
        <w:t>II</w:t>
      </w:r>
      <w:proofErr w:type="gramStart"/>
      <w:r w:rsidRPr="003C35B5">
        <w:rPr>
          <w:b/>
        </w:rPr>
        <w:t>.  Effect</w:t>
      </w:r>
      <w:proofErr w:type="gramEnd"/>
      <w:r w:rsidRPr="003C35B5">
        <w:rPr>
          <w:b/>
        </w:rPr>
        <w:t xml:space="preserve"> of Preliminary Order</w:t>
      </w:r>
    </w:p>
    <w:p w:rsidR="00ED6AE0" w:rsidRPr="003C35B5" w:rsidRDefault="00ED6AE0" w:rsidP="00ED6AE0">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ED6AE0" w:rsidRPr="008F5754" w:rsidRDefault="00ED6AE0" w:rsidP="008F5754">
      <w:pPr>
        <w:ind w:firstLine="720"/>
      </w:pPr>
      <w:r w:rsidRPr="003C35B5">
        <w:rPr>
          <w:b/>
        </w:rPr>
        <w:t xml:space="preserve">SIGNED AT AUSTIN, TEXAS the ______ day of </w:t>
      </w:r>
      <w:r>
        <w:rPr>
          <w:b/>
        </w:rPr>
        <w:t>November 2015</w:t>
      </w:r>
      <w:r w:rsidRPr="003C35B5">
        <w:rPr>
          <w:b/>
        </w:rPr>
        <w:t>.</w:t>
      </w: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D6AE0"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ED6AE0" w:rsidRDefault="00ED6AE0" w:rsidP="00ED6AE0">
      <w:pPr>
        <w:spacing w:before="0" w:line="240" w:lineRule="auto"/>
        <w:ind w:firstLine="3780"/>
        <w:rPr>
          <w:b/>
        </w:rPr>
      </w:pPr>
    </w:p>
    <w:p w:rsidR="00ED6AE0" w:rsidRPr="003C35B5" w:rsidRDefault="00ED6AE0" w:rsidP="00ED6AE0">
      <w:pPr>
        <w:spacing w:before="0" w:line="240" w:lineRule="auto"/>
        <w:ind w:firstLine="3780"/>
        <w:rPr>
          <w:b/>
        </w:rPr>
      </w:pPr>
    </w:p>
    <w:p w:rsidR="00ED6AE0" w:rsidRPr="003C35B5" w:rsidRDefault="00ED6AE0" w:rsidP="00ED6AE0">
      <w:pPr>
        <w:spacing w:before="0" w:line="240" w:lineRule="auto"/>
        <w:ind w:firstLine="3780"/>
        <w:rPr>
          <w:b/>
        </w:rPr>
      </w:pP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ED6AE0" w:rsidRDefault="00ED6AE0" w:rsidP="00ED6AE0">
      <w:pPr>
        <w:spacing w:before="0" w:line="240" w:lineRule="auto"/>
        <w:ind w:firstLine="3780"/>
        <w:rPr>
          <w:b/>
        </w:rPr>
      </w:pPr>
      <w:bookmarkStart w:id="0" w:name="_GoBack"/>
      <w:bookmarkEnd w:id="0"/>
    </w:p>
    <w:p w:rsidR="00ED6AE0" w:rsidRPr="003C35B5" w:rsidRDefault="00ED6AE0" w:rsidP="00ED6AE0">
      <w:pPr>
        <w:spacing w:before="0" w:line="240" w:lineRule="auto"/>
        <w:ind w:firstLine="3780"/>
        <w:rPr>
          <w:b/>
        </w:rPr>
      </w:pPr>
    </w:p>
    <w:p w:rsidR="00ED6AE0" w:rsidRPr="003C35B5" w:rsidRDefault="00ED6AE0" w:rsidP="00ED6AE0">
      <w:pPr>
        <w:spacing w:before="0" w:line="240" w:lineRule="auto"/>
        <w:ind w:firstLine="3780"/>
        <w:rPr>
          <w:b/>
        </w:rPr>
      </w:pPr>
    </w:p>
    <w:p w:rsidR="00ED6AE0" w:rsidRPr="003C35B5" w:rsidRDefault="00ED6AE0" w:rsidP="00ED6AE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0F7DD7" w:rsidRDefault="00ED6AE0" w:rsidP="00357B3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8072B9" w:rsidRPr="00357B39" w:rsidRDefault="00ED6AE0" w:rsidP="000F7DD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jc w:val="left"/>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0F7DD7">
        <w:rPr>
          <w:noProof/>
          <w:sz w:val="16"/>
        </w:rPr>
        <w:t>q:\cadm\orders\prelim\44000\44600 po.docx</w:t>
      </w:r>
      <w:r w:rsidRPr="003C35B5">
        <w:rPr>
          <w:sz w:val="16"/>
        </w:rPr>
        <w:fldChar w:fldCharType="end"/>
      </w:r>
      <w:r w:rsidRPr="003C35B5">
        <w:rPr>
          <w:sz w:val="16"/>
        </w:rPr>
        <w:t xml:space="preserve">  </w:t>
      </w:r>
    </w:p>
    <w:sectPr w:rsidR="008072B9" w:rsidRPr="00357B39">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AE0" w:rsidRDefault="00ED6AE0" w:rsidP="00ED6AE0">
      <w:pPr>
        <w:spacing w:before="0" w:line="240" w:lineRule="auto"/>
      </w:pPr>
      <w:r>
        <w:separator/>
      </w:r>
    </w:p>
  </w:endnote>
  <w:endnote w:type="continuationSeparator" w:id="0">
    <w:p w:rsidR="00ED6AE0" w:rsidRDefault="00ED6AE0" w:rsidP="00ED6AE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AE64F9" w:rsidP="00ED6AE0">
    <w:pPr>
      <w:pStyle w:val="Footer"/>
      <w:numPr>
        <w:ilvl w:val="0"/>
        <w:numId w:val="1"/>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AE64F9"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AE0" w:rsidRDefault="00ED6AE0" w:rsidP="00ED6AE0">
      <w:pPr>
        <w:spacing w:before="0" w:line="240" w:lineRule="auto"/>
      </w:pPr>
      <w:r>
        <w:separator/>
      </w:r>
    </w:p>
  </w:footnote>
  <w:footnote w:type="continuationSeparator" w:id="0">
    <w:p w:rsidR="00ED6AE0" w:rsidRDefault="00ED6AE0" w:rsidP="00ED6AE0">
      <w:pPr>
        <w:spacing w:before="0" w:line="240" w:lineRule="auto"/>
      </w:pPr>
      <w:r>
        <w:continuationSeparator/>
      </w:r>
    </w:p>
  </w:footnote>
  <w:footnote w:id="1">
    <w:p w:rsidR="000061D9" w:rsidRDefault="000061D9">
      <w:pPr>
        <w:pStyle w:val="FootnoteText"/>
      </w:pPr>
      <w:r>
        <w:rPr>
          <w:rStyle w:val="FootnoteReference"/>
        </w:rPr>
        <w:footnoteRef/>
      </w:r>
      <w:r>
        <w:t xml:space="preserve"> Application at 14 (Mar. 31, 2105).</w:t>
      </w:r>
    </w:p>
  </w:footnote>
  <w:footnote w:id="2">
    <w:p w:rsidR="00014EAA" w:rsidRPr="00014EAA" w:rsidRDefault="00014EAA">
      <w:pPr>
        <w:pStyle w:val="FootnoteText"/>
      </w:pPr>
      <w:r>
        <w:rPr>
          <w:rStyle w:val="FootnoteReference"/>
        </w:rPr>
        <w:footnoteRef/>
      </w:r>
      <w:r>
        <w:t xml:space="preserve"> </w:t>
      </w:r>
      <w:r>
        <w:rPr>
          <w:i/>
        </w:rPr>
        <w:t>Id</w:t>
      </w:r>
      <w:r>
        <w:t>. at 33.</w:t>
      </w:r>
    </w:p>
  </w:footnote>
  <w:footnote w:id="3">
    <w:p w:rsidR="00ED6AE0" w:rsidRDefault="00ED6AE0" w:rsidP="00ED6AE0">
      <w:pPr>
        <w:pStyle w:val="FootnoteText"/>
      </w:pPr>
      <w:r>
        <w:rPr>
          <w:rStyle w:val="FootnoteReference"/>
        </w:rPr>
        <w:footnoteRef/>
      </w:r>
      <w:r>
        <w:t xml:space="preserve"> </w:t>
      </w:r>
      <w:r w:rsidRPr="007225AC">
        <w:rPr>
          <w:i/>
        </w:rPr>
        <w:t>Id.</w:t>
      </w:r>
    </w:p>
  </w:footnote>
  <w:footnote w:id="4">
    <w:p w:rsidR="00014EAA" w:rsidRPr="00014EAA" w:rsidRDefault="00014EAA">
      <w:pPr>
        <w:pStyle w:val="FootnoteText"/>
      </w:pPr>
      <w:r>
        <w:rPr>
          <w:rStyle w:val="FootnoteReference"/>
        </w:rPr>
        <w:footnoteRef/>
      </w:r>
      <w:r>
        <w:t xml:space="preserve"> </w:t>
      </w:r>
      <w:r>
        <w:rPr>
          <w:i/>
        </w:rPr>
        <w:t>Id</w:t>
      </w:r>
      <w:r>
        <w:t>.</w:t>
      </w:r>
    </w:p>
  </w:footnote>
  <w:footnote w:id="5">
    <w:p w:rsidR="00ED6AE0" w:rsidRDefault="00ED6AE0" w:rsidP="00ED6AE0">
      <w:pPr>
        <w:pStyle w:val="FootnoteText"/>
      </w:pPr>
      <w:r>
        <w:rPr>
          <w:rStyle w:val="FootnoteReference"/>
        </w:rPr>
        <w:footnoteRef/>
      </w:r>
      <w:r>
        <w:t xml:space="preserve"> </w:t>
      </w:r>
      <w:r w:rsidRPr="0013368E">
        <w:rPr>
          <w:i/>
        </w:rPr>
        <w:t>Id</w:t>
      </w:r>
      <w:r>
        <w:rPr>
          <w:i/>
        </w:rPr>
        <w:t>.</w:t>
      </w:r>
    </w:p>
  </w:footnote>
  <w:footnote w:id="6">
    <w:p w:rsidR="00ED6AE0" w:rsidRDefault="00ED6AE0" w:rsidP="00ED6AE0">
      <w:pPr>
        <w:pStyle w:val="FootnoteText"/>
      </w:pPr>
      <w:r>
        <w:rPr>
          <w:rStyle w:val="FootnoteReference"/>
        </w:rPr>
        <w:footnoteRef/>
      </w:r>
      <w:r>
        <w:t xml:space="preserve"> </w:t>
      </w:r>
      <w:r w:rsidRPr="0013368E">
        <w:rPr>
          <w:i/>
        </w:rPr>
        <w:t>Id.</w:t>
      </w:r>
      <w:r>
        <w:rPr>
          <w:i/>
        </w:rPr>
        <w:t xml:space="preserve"> </w:t>
      </w:r>
      <w:r>
        <w:t>at 34.</w:t>
      </w:r>
    </w:p>
  </w:footnote>
  <w:footnote w:id="7">
    <w:p w:rsidR="00ED6AE0" w:rsidRDefault="00ED6AE0" w:rsidP="00ED6AE0">
      <w:pPr>
        <w:pStyle w:val="FootnoteText"/>
      </w:pPr>
      <w:r>
        <w:rPr>
          <w:rStyle w:val="FootnoteReference"/>
        </w:rPr>
        <w:footnoteRef/>
      </w:r>
      <w:r>
        <w:t xml:space="preserve"> </w:t>
      </w:r>
      <w:r w:rsidRPr="00D90A83">
        <w:rPr>
          <w:i/>
        </w:rPr>
        <w:t>Id</w:t>
      </w:r>
      <w:r>
        <w:t xml:space="preserve">. </w:t>
      </w:r>
    </w:p>
  </w:footnote>
  <w:footnote w:id="8">
    <w:p w:rsidR="008F5754" w:rsidRDefault="008F5754">
      <w:pPr>
        <w:pStyle w:val="FootnoteText"/>
      </w:pPr>
      <w:r>
        <w:rPr>
          <w:rStyle w:val="FootnoteReference"/>
        </w:rPr>
        <w:footnoteRef/>
      </w:r>
      <w: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9B6BE3">
    <w:pPr>
      <w:pStyle w:val="Header"/>
      <w:spacing w:before="0" w:line="240" w:lineRule="auto"/>
      <w:rPr>
        <w:rStyle w:val="PageNumber"/>
        <w:sz w:val="20"/>
      </w:rPr>
    </w:pPr>
    <w:r>
      <w:rPr>
        <w:rStyle w:val="PageNumber"/>
        <w:sz w:val="20"/>
      </w:rPr>
      <w:t>SOAH Docket No. 473-1</w:t>
    </w:r>
    <w:r w:rsidR="00B035E0">
      <w:rPr>
        <w:rStyle w:val="PageNumber"/>
        <w:sz w:val="20"/>
      </w:rPr>
      <w:t>6-0477</w:t>
    </w:r>
    <w:r>
      <w:rPr>
        <w:rStyle w:val="PageNumber"/>
        <w:sz w:val="20"/>
      </w:rPr>
      <w:t>.WS</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AE64F9">
      <w:rPr>
        <w:rStyle w:val="PageNumber"/>
        <w:noProof/>
        <w:sz w:val="20"/>
      </w:rPr>
      <w:t>4</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AE64F9">
      <w:rPr>
        <w:rStyle w:val="PageNumber"/>
        <w:noProof/>
        <w:sz w:val="20"/>
      </w:rPr>
      <w:t>5</w:t>
    </w:r>
    <w:r w:rsidRPr="00D07FE4">
      <w:rPr>
        <w:rStyle w:val="PageNumber"/>
        <w:sz w:val="20"/>
      </w:rPr>
      <w:fldChar w:fldCharType="end"/>
    </w:r>
  </w:p>
  <w:p w:rsidR="003243A0" w:rsidRDefault="009B6BE3">
    <w:pPr>
      <w:pStyle w:val="Header"/>
      <w:spacing w:before="0" w:line="240" w:lineRule="auto"/>
      <w:rPr>
        <w:rStyle w:val="PageNumber"/>
      </w:rPr>
    </w:pPr>
    <w:r w:rsidRPr="00D07FE4">
      <w:rPr>
        <w:sz w:val="20"/>
      </w:rPr>
      <w:t xml:space="preserve">Docket No. </w:t>
    </w:r>
    <w:r>
      <w:rPr>
        <w:sz w:val="20"/>
      </w:rPr>
      <w:t>44</w:t>
    </w:r>
    <w:r w:rsidR="00B035E0">
      <w:rPr>
        <w:sz w:val="20"/>
      </w:rPr>
      <w:t>600</w:t>
    </w:r>
    <w:r w:rsidRPr="00D07FE4">
      <w:rPr>
        <w:rStyle w:val="PageNumber"/>
        <w:sz w:val="20"/>
      </w:rPr>
      <w:t xml:space="preserve"> </w:t>
    </w:r>
  </w:p>
  <w:p w:rsidR="003243A0" w:rsidRDefault="00AE64F9">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E0"/>
    <w:rsid w:val="000061D9"/>
    <w:rsid w:val="00014EAA"/>
    <w:rsid w:val="000E5C4E"/>
    <w:rsid w:val="000F7DD7"/>
    <w:rsid w:val="002D0AD0"/>
    <w:rsid w:val="00312B86"/>
    <w:rsid w:val="003238E9"/>
    <w:rsid w:val="00357B39"/>
    <w:rsid w:val="003E5B57"/>
    <w:rsid w:val="00571794"/>
    <w:rsid w:val="00675522"/>
    <w:rsid w:val="006A1D1E"/>
    <w:rsid w:val="008F5754"/>
    <w:rsid w:val="0093471E"/>
    <w:rsid w:val="00994C54"/>
    <w:rsid w:val="009B6BE3"/>
    <w:rsid w:val="00A74013"/>
    <w:rsid w:val="00AE64F9"/>
    <w:rsid w:val="00B035E0"/>
    <w:rsid w:val="00E05A57"/>
    <w:rsid w:val="00ED6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8D86EE5-0BD7-4BB5-8C37-1295154E6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AE0"/>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D6AE0"/>
    <w:rPr>
      <w:position w:val="6"/>
      <w:sz w:val="17"/>
    </w:rPr>
  </w:style>
  <w:style w:type="paragraph" w:styleId="FootnoteText">
    <w:name w:val="footnote text"/>
    <w:basedOn w:val="Normal"/>
    <w:link w:val="FootnoteTextChar"/>
    <w:semiHidden/>
    <w:rsid w:val="00ED6AE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D6AE0"/>
    <w:rPr>
      <w:rFonts w:ascii="Times New Roman" w:eastAsia="Times New Roman" w:hAnsi="Times New Roman" w:cs="Times New Roman"/>
      <w:sz w:val="20"/>
      <w:szCs w:val="20"/>
    </w:rPr>
  </w:style>
  <w:style w:type="paragraph" w:styleId="Header">
    <w:name w:val="header"/>
    <w:basedOn w:val="Normal"/>
    <w:link w:val="HeaderChar"/>
    <w:rsid w:val="00ED6AE0"/>
    <w:pPr>
      <w:keepLines/>
      <w:tabs>
        <w:tab w:val="center" w:pos="4680"/>
        <w:tab w:val="right" w:pos="9360"/>
      </w:tabs>
      <w:spacing w:line="240" w:lineRule="exact"/>
    </w:pPr>
    <w:rPr>
      <w:b/>
    </w:rPr>
  </w:style>
  <w:style w:type="character" w:customStyle="1" w:styleId="HeaderChar">
    <w:name w:val="Header Char"/>
    <w:basedOn w:val="DefaultParagraphFont"/>
    <w:link w:val="Header"/>
    <w:rsid w:val="00ED6AE0"/>
    <w:rPr>
      <w:rFonts w:ascii="Times New Roman" w:eastAsia="Times New Roman" w:hAnsi="Times New Roman" w:cs="Times New Roman"/>
      <w:b/>
      <w:sz w:val="24"/>
      <w:szCs w:val="20"/>
    </w:rPr>
  </w:style>
  <w:style w:type="paragraph" w:styleId="Footer">
    <w:name w:val="footer"/>
    <w:basedOn w:val="Normal"/>
    <w:link w:val="FooterChar"/>
    <w:rsid w:val="00ED6AE0"/>
    <w:pPr>
      <w:tabs>
        <w:tab w:val="center" w:pos="4320"/>
        <w:tab w:val="right" w:pos="8640"/>
      </w:tabs>
      <w:spacing w:before="0"/>
      <w:ind w:left="360" w:hanging="360"/>
    </w:pPr>
  </w:style>
  <w:style w:type="character" w:customStyle="1" w:styleId="FooterChar">
    <w:name w:val="Footer Char"/>
    <w:basedOn w:val="DefaultParagraphFont"/>
    <w:link w:val="Footer"/>
    <w:rsid w:val="00ED6AE0"/>
    <w:rPr>
      <w:rFonts w:ascii="Times New Roman" w:eastAsia="Times New Roman" w:hAnsi="Times New Roman" w:cs="Times New Roman"/>
      <w:sz w:val="24"/>
      <w:szCs w:val="20"/>
    </w:rPr>
  </w:style>
  <w:style w:type="character" w:styleId="PageNumber">
    <w:name w:val="page number"/>
    <w:basedOn w:val="DefaultParagraphFont"/>
    <w:rsid w:val="00ED6AE0"/>
  </w:style>
  <w:style w:type="paragraph" w:styleId="BodyText">
    <w:name w:val="Body Text"/>
    <w:basedOn w:val="Normal"/>
    <w:link w:val="BodyTextChar"/>
    <w:rsid w:val="00ED6AE0"/>
    <w:pPr>
      <w:spacing w:before="0"/>
    </w:pPr>
  </w:style>
  <w:style w:type="character" w:customStyle="1" w:styleId="BodyTextChar">
    <w:name w:val="Body Text Char"/>
    <w:basedOn w:val="DefaultParagraphFont"/>
    <w:link w:val="BodyText"/>
    <w:rsid w:val="00ED6AE0"/>
    <w:rPr>
      <w:rFonts w:ascii="Times New Roman" w:eastAsia="Times New Roman" w:hAnsi="Times New Roman" w:cs="Times New Roman"/>
      <w:sz w:val="24"/>
      <w:szCs w:val="20"/>
    </w:rPr>
  </w:style>
  <w:style w:type="paragraph" w:customStyle="1" w:styleId="StyleItemListBefore12pt">
    <w:name w:val="Style Item List + Before:  12 pt"/>
    <w:basedOn w:val="Normal"/>
    <w:rsid w:val="00ED6AE0"/>
    <w:pPr>
      <w:numPr>
        <w:numId w:val="2"/>
      </w:numPr>
    </w:pPr>
  </w:style>
  <w:style w:type="paragraph" w:styleId="BalloonText">
    <w:name w:val="Balloon Text"/>
    <w:basedOn w:val="Normal"/>
    <w:link w:val="BalloonTextChar"/>
    <w:uiPriority w:val="99"/>
    <w:semiHidden/>
    <w:unhideWhenUsed/>
    <w:rsid w:val="003E5B57"/>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B5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8BBEC-7ABF-40CA-A825-7AED27BC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Roundtree-Williams, Keva</cp:lastModifiedBy>
  <cp:revision>7</cp:revision>
  <cp:lastPrinted>2015-11-05T17:37:00Z</cp:lastPrinted>
  <dcterms:created xsi:type="dcterms:W3CDTF">2015-11-04T20:40:00Z</dcterms:created>
  <dcterms:modified xsi:type="dcterms:W3CDTF">2015-11-05T17:37:00Z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